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w:hAnsi="Aptos" w:eastAsia="Aptos"/>
          <w:b/>
          <w:color w:val="0B6F68"/>
          <w:sz w:val="28"/>
        </w:rPr>
        <w:t>LESSON PLAN</w:t>
      </w:r>
    </w:p>
    <w:p>
      <w:pPr>
        <w:jc w:val="center"/>
      </w:pPr>
      <w:r>
        <w:rPr>
          <w:rFonts w:ascii="Aptos" w:hAnsi="Aptos" w:eastAsia="Aptos"/>
          <w:b/>
          <w:color w:val="17242C"/>
          <w:sz w:val="28"/>
        </w:rPr>
        <w:t>LESSON 20: SPEAKING – ECOSYSTEM</w:t>
        <w:br/>
        <w:t>Explain situations, give instructions</w:t>
      </w:r>
    </w:p>
    <w:p>
      <w:pPr>
        <w:jc w:val="center"/>
      </w:pPr>
      <w:r>
        <w:rPr>
          <w:rFonts w:ascii="Aptos" w:hAnsi="Aptos" w:eastAsia="Aptos"/>
          <w:i/>
          <w:color w:val="17242C"/>
          <w:sz w:val="24"/>
        </w:rPr>
        <w:t>Class: 12A1  |  Week 7 (19/10–24/10/2026)  |  Duration: 45 minutes</w:t>
      </w:r>
    </w:p>
    <w:p>
      <w:pPr>
        <w:spacing w:before="160" w:after="80"/>
      </w:pPr>
      <w:r>
        <w:rPr>
          <w:rFonts w:ascii="Aptos" w:hAnsi="Aptos" w:eastAsia="Aptos"/>
          <w:b/>
          <w:color w:val="0B6F68"/>
          <w:sz w:val="28"/>
        </w:rPr>
        <w:t>I. OBJECTIVES</w:t>
      </w:r>
    </w:p>
    <w:p>
      <w:pPr>
        <w:pStyle w:val="ListBullet"/>
        <w:spacing w:after="20"/>
      </w:pPr>
      <w:r>
        <w:rPr>
          <w:rFonts w:ascii="Aptos" w:hAnsi="Aptos" w:eastAsia="Aptos"/>
          <w:color w:val="17242C"/>
          <w:sz w:val="24"/>
        </w:rPr>
        <w:t>Use eight B2–C1 ecosystem words accurately and confidently in speaking tasks.</w:t>
      </w:r>
    </w:p>
    <w:p>
      <w:pPr>
        <w:pStyle w:val="ListBullet"/>
        <w:spacing w:after="20"/>
      </w:pPr>
      <w:r>
        <w:rPr>
          <w:rFonts w:ascii="Aptos" w:hAnsi="Aptos" w:eastAsia="Aptos"/>
          <w:color w:val="17242C"/>
          <w:sz w:val="24"/>
        </w:rPr>
        <w:t>Explain an environmental situation using cause–effect language such as “The reason why … is that …” and “This can be explained by the fact that …”.</w:t>
      </w:r>
    </w:p>
    <w:p>
      <w:pPr>
        <w:pStyle w:val="ListBullet"/>
        <w:spacing w:after="20"/>
      </w:pPr>
      <w:r>
        <w:rPr>
          <w:rFonts w:ascii="Aptos" w:hAnsi="Aptos" w:eastAsia="Aptos"/>
          <w:color w:val="17242C"/>
          <w:sz w:val="24"/>
        </w:rPr>
        <w:t>Give clear, step-by-step instructions using sequencers and imperatives such as “The first step is to …”, “Make sure you …” and “Avoid + V-ing …”.</w:t>
      </w:r>
    </w:p>
    <w:p>
      <w:pPr>
        <w:pStyle w:val="ListBullet"/>
        <w:spacing w:after="20"/>
      </w:pPr>
      <w:r>
        <w:rPr>
          <w:rFonts w:ascii="Aptos" w:hAnsi="Aptos" w:eastAsia="Aptos"/>
          <w:color w:val="17242C"/>
          <w:sz w:val="24"/>
        </w:rPr>
        <w:t>Tích hợp năng lực số (NLS) – 2.2NC1b: phân phát tài liệu về hệ sinh thái qua hệ thống Cloud của lớp.</w:t>
      </w:r>
    </w:p>
    <w:p>
      <w:pPr>
        <w:spacing w:before="160" w:after="80"/>
      </w:pPr>
      <w:r>
        <w:rPr>
          <w:rFonts w:ascii="Aptos" w:hAnsi="Aptos" w:eastAsia="Aptos"/>
          <w:b/>
          <w:color w:val="0B6F68"/>
          <w:sz w:val="28"/>
        </w:rPr>
        <w:t>II. LANGUAGE AND SKILLS FOCUS</w:t>
      </w:r>
    </w:p>
    <w:p>
      <w:pPr>
        <w:pStyle w:val="ListBullet"/>
        <w:spacing w:after="20"/>
      </w:pPr>
      <w:r>
        <w:rPr>
          <w:rFonts w:ascii="Aptos" w:hAnsi="Aptos" w:eastAsia="Aptos"/>
          <w:color w:val="17242C"/>
          <w:sz w:val="24"/>
        </w:rPr>
        <w:t>Vocabulary: biodiversity, habitat, predator, prey, food chain, extinction, conservation, invasive species.</w:t>
      </w:r>
    </w:p>
    <w:p>
      <w:pPr>
        <w:pStyle w:val="ListBullet"/>
        <w:spacing w:after="20"/>
      </w:pPr>
      <w:r>
        <w:rPr>
          <w:rFonts w:ascii="Aptos" w:hAnsi="Aptos" w:eastAsia="Aptos"/>
          <w:color w:val="17242C"/>
          <w:sz w:val="24"/>
        </w:rPr>
        <w:t>Speaking strategies: explaining a situation with cause–effect language; giving instructions with sequencers, imperatives and “Avoid + V-ing …”.</w:t>
      </w:r>
    </w:p>
    <w:p>
      <w:pPr>
        <w:pStyle w:val="ListBullet"/>
        <w:spacing w:after="20"/>
      </w:pPr>
      <w:r>
        <w:rPr>
          <w:sz w:val="24"/>
        </w:rPr>
        <w:t>Speaking: guided practice on two local ecosystem problems, then paired role-plays with teacher feedback.</w:t>
      </w:r>
    </w:p>
    <w:p>
      <w:pPr>
        <w:spacing w:before="160" w:after="80"/>
      </w:pPr>
      <w:r>
        <w:rPr>
          <w:rFonts w:ascii="Aptos" w:hAnsi="Aptos" w:eastAsia="Aptos"/>
          <w:b/>
          <w:color w:val="0B6F68"/>
          <w:sz w:val="28"/>
        </w:rPr>
        <w:t>III. RESOURCES</w:t>
      </w:r>
    </w:p>
    <w:p>
      <w:pPr>
        <w:pStyle w:val="ListBullet"/>
        <w:spacing w:after="20"/>
      </w:pPr>
      <w:r>
        <w:rPr>
          <w:rFonts w:ascii="Aptos" w:hAnsi="Aptos" w:eastAsia="Aptos"/>
          <w:color w:val="17242C"/>
          <w:sz w:val="24"/>
        </w:rPr>
        <w:t>Teacher: interactive web lesson, laptop, projector and speakers; downloadable lesson plan and handout.</w:t>
      </w:r>
    </w:p>
    <w:p>
      <w:pPr>
        <w:pStyle w:val="ListBullet"/>
        <w:spacing w:after="20"/>
      </w:pPr>
      <w:r>
        <w:rPr>
          <w:rFonts w:ascii="Aptos" w:hAnsi="Aptos" w:eastAsia="Aptos"/>
          <w:color w:val="17242C"/>
          <w:sz w:val="24"/>
        </w:rPr>
        <w:t>Students: printed handout; smartphones or laptops for vocabulary pronunciation practice.</w:t>
      </w:r>
    </w:p>
    <w:p>
      <w:pPr>
        <w:pStyle w:val="ListBullet"/>
        <w:spacing w:after="20"/>
      </w:pPr>
      <w:r>
        <w:rPr>
          <w:rFonts w:ascii="Aptos" w:hAnsi="Aptos" w:eastAsia="Aptos"/>
          <w:color w:val="17242C"/>
          <w:sz w:val="24"/>
        </w:rPr>
        <w:t>NLS reporting resource: class Cloud folder with the ecosystem handout and vlog-assignment guide (2.2NC1b).</w:t>
      </w:r>
    </w:p>
    <w:p>
      <w:pPr>
        <w:spacing w:before="160" w:after="80"/>
      </w:pPr>
      <w:r>
        <w:rPr>
          <w:rFonts w:ascii="Aptos" w:hAnsi="Aptos" w:eastAsia="Aptos"/>
          <w:b/>
          <w:color w:val="0B6F68"/>
          <w:sz w:val="28"/>
        </w:rPr>
        <w:t>IV. TEACHING PROCEDURE</w:t>
      </w:r>
    </w:p>
    <w:tbl>
      <w:tblPr>
        <w:tblStyle w:val="TableGrid"/>
        <w:tblW w:type="auto" w:w="0"/>
        <w:jc w:val="center"/>
        <w:tblLook w:firstColumn="1" w:firstRow="1" w:lastColumn="0" w:lastRow="0" w:noHBand="0" w:noVBand="1" w:val="04A0"/>
      </w:tblPr>
      <w:tblGrid>
        <w:gridCol w:w="3000"/>
        <w:gridCol w:w="4500"/>
        <w:gridCol w:w="2700"/>
      </w:tblGrid>
      <w:tr>
        <w:trPr>
          <w:tblHeader w:val="true"/>
        </w:trPr>
        <w:tc>
          <w:tcPr>
            <w:tcW w:type="dxa" w:w="3000"/>
            <w:shd w:fill="DFF1ED"/>
            <w:vAlign w:val="center"/>
            <w:tcBorders>
              <w:top w:val="single" w:sz="6" w:color="CAD7DC"/>
              <w:left w:val="single" w:sz="6" w:color="CAD7DC"/>
              <w:bottom w:val="single" w:sz="6" w:color="CAD7DC"/>
              <w:right w:val="single" w:sz="6" w:color="CAD7DC"/>
              <w:insideH w:val="single" w:sz="6" w:color="CAD7DC"/>
              <w:insideV w:val="single" w:sz="6" w:color="CAD7DC"/>
            </w:tcBorders>
          </w:tcPr>
          <w:p>
            <w:r>
              <w:rPr>
                <w:rFonts w:ascii="Aptos" w:hAnsi="Aptos" w:eastAsia="Aptos"/>
                <w:b/>
                <w:color w:val="0B6F68"/>
                <w:sz w:val="24"/>
              </w:rPr>
              <w:t>Stage</w:t>
            </w:r>
          </w:p>
        </w:tc>
        <w:tc>
          <w:tcPr>
            <w:tcW w:type="dxa" w:w="4500"/>
            <w:shd w:fill="DFF1ED"/>
            <w:vAlign w:val="center"/>
            <w:tcBorders>
              <w:top w:val="single" w:sz="6" w:color="CAD7DC"/>
              <w:left w:val="single" w:sz="6" w:color="CAD7DC"/>
              <w:bottom w:val="single" w:sz="6" w:color="CAD7DC"/>
              <w:right w:val="single" w:sz="6" w:color="CAD7DC"/>
              <w:insideH w:val="single" w:sz="6" w:color="CAD7DC"/>
              <w:insideV w:val="single" w:sz="6" w:color="CAD7DC"/>
            </w:tcBorders>
          </w:tcPr>
          <w:p>
            <w:r>
              <w:rPr>
                <w:rFonts w:ascii="Aptos" w:hAnsi="Aptos" w:eastAsia="Aptos"/>
                <w:b/>
                <w:color w:val="0B6F68"/>
                <w:sz w:val="24"/>
              </w:rPr>
              <w:t>Teacher and student activities</w:t>
            </w:r>
          </w:p>
        </w:tc>
        <w:tc>
          <w:tcPr>
            <w:tcW w:type="dxa" w:w="2700"/>
            <w:shd w:fill="DFF1ED"/>
            <w:vAlign w:val="center"/>
            <w:tcBorders>
              <w:top w:val="single" w:sz="6" w:color="CAD7DC"/>
              <w:left w:val="single" w:sz="6" w:color="CAD7DC"/>
              <w:bottom w:val="single" w:sz="6" w:color="CAD7DC"/>
              <w:right w:val="single" w:sz="6" w:color="CAD7DC"/>
              <w:insideH w:val="single" w:sz="6" w:color="CAD7DC"/>
              <w:insideV w:val="single" w:sz="6" w:color="CAD7DC"/>
            </w:tcBorders>
          </w:tcPr>
          <w:p>
            <w:r>
              <w:rPr>
                <w:rFonts w:ascii="Aptos" w:hAnsi="Aptos" w:eastAsia="Aptos"/>
                <w:b/>
                <w:color w:val="0B6F68"/>
                <w:sz w:val="24"/>
              </w:rPr>
              <w:t>Assessment / product</w:t>
            </w:r>
          </w:p>
        </w:tc>
      </w:tr>
      <w:tr>
        <w:tc>
          <w:tcPr>
            <w:tcW w:type="dxa" w:w="3000"/>
            <w:vAlign w:val="top"/>
            <w:tcBorders>
              <w:top w:val="single" w:sz="6" w:color="CAD7DC"/>
              <w:left w:val="single" w:sz="6" w:color="CAD7DC"/>
              <w:bottom w:val="single" w:sz="6" w:color="CAD7DC"/>
              <w:right w:val="single" w:sz="6" w:color="CAD7DC"/>
              <w:insideH w:val="single" w:sz="6" w:color="CAD7DC"/>
              <w:insideV w:val="single" w:sz="6" w:color="CAD7DC"/>
            </w:tcBorders>
            <w:shd w:fill="FFFFFF"/>
          </w:tcPr>
          <w:p>
            <w:r>
              <w:rPr>
                <w:rFonts w:ascii="Aptos" w:hAnsi="Aptos" w:eastAsia="Aptos"/>
                <w:color w:val="17242C"/>
                <w:sz w:val="24"/>
              </w:rPr>
              <w:t>Warmer (5′)</w:t>
            </w:r>
            <w:r>
              <w:rPr>
                <w:sz w:val="24"/>
              </w:rPr>
            </w:r>
          </w:p>
        </w:tc>
        <w:tc>
          <w:tcPr>
            <w:tcW w:type="dxa" w:w="4500"/>
            <w:vAlign w:val="top"/>
            <w:tcBorders>
              <w:top w:val="single" w:sz="6" w:color="CAD7DC"/>
              <w:left w:val="single" w:sz="6" w:color="CAD7DC"/>
              <w:bottom w:val="single" w:sz="6" w:color="CAD7DC"/>
              <w:right w:val="single" w:sz="6" w:color="CAD7DC"/>
              <w:insideH w:val="single" w:sz="6" w:color="CAD7DC"/>
              <w:insideV w:val="single" w:sz="6" w:color="CAD7DC"/>
            </w:tcBorders>
            <w:shd w:fill="FFFFFF"/>
          </w:tcPr>
          <w:p>
            <w:r>
              <w:rPr>
                <w:rFonts w:ascii="Aptos" w:hAnsi="Aptos" w:eastAsia="Aptos"/>
                <w:color w:val="17242C"/>
                <w:sz w:val="24"/>
              </w:rPr>
              <w:t>Pairs answer five multiple-choice questions about ecosystems (coral reefs, the Sundarbans, water hyacinth, predator–prey balance, the Indochinese tiger). Teacher reveals the FACT CHECK panel after each answer and elicits the lesson topic.</w:t>
            </w:r>
          </w:p>
        </w:tc>
        <w:tc>
          <w:tcPr>
            <w:tcW w:type="dxa" w:w="2700"/>
            <w:vAlign w:val="top"/>
            <w:tcBorders>
              <w:top w:val="single" w:sz="6" w:color="CAD7DC"/>
              <w:left w:val="single" w:sz="6" w:color="CAD7DC"/>
              <w:bottom w:val="single" w:sz="6" w:color="CAD7DC"/>
              <w:right w:val="single" w:sz="6" w:color="CAD7DC"/>
              <w:insideH w:val="single" w:sz="6" w:color="CAD7DC"/>
              <w:insideV w:val="single" w:sz="6" w:color="CAD7DC"/>
            </w:tcBorders>
            <w:shd w:fill="FFFFFF"/>
          </w:tcPr>
          <w:p>
            <w:r>
              <w:rPr>
                <w:rFonts w:ascii="Aptos" w:hAnsi="Aptos" w:eastAsia="Aptos"/>
                <w:color w:val="17242C"/>
                <w:sz w:val="24"/>
              </w:rPr>
              <w:t>Students activate background knowledge; all five facts checked on screen.</w:t>
            </w:r>
          </w:p>
        </w:tc>
      </w:tr>
      <w:tr>
        <w:tc>
          <w:tcPr>
            <w:tcW w:type="dxa" w:w="3000"/>
            <w:vAlign w:val="top"/>
            <w:tcBorders>
              <w:top w:val="single" w:sz="6" w:color="CAD7DC"/>
              <w:left w:val="single" w:sz="6" w:color="CAD7DC"/>
              <w:bottom w:val="single" w:sz="6" w:color="CAD7DC"/>
              <w:right w:val="single" w:sz="6" w:color="CAD7DC"/>
              <w:insideH w:val="single" w:sz="6" w:color="CAD7DC"/>
              <w:insideV w:val="single" w:sz="6" w:color="CAD7DC"/>
            </w:tcBorders>
            <w:shd w:fill="FFFFFF"/>
          </w:tcPr>
          <w:p>
            <w:r>
              <w:rPr>
                <w:rFonts w:ascii="Aptos" w:hAnsi="Aptos" w:eastAsia="Aptos"/>
                <w:color w:val="17242C"/>
                <w:sz w:val="24"/>
              </w:rPr>
              <w:t>Pre-speaking (12′)</w:t>
            </w:r>
            <w:r>
              <w:rPr>
                <w:sz w:val="24"/>
              </w:rPr>
            </w:r>
          </w:p>
        </w:tc>
        <w:tc>
          <w:tcPr>
            <w:tcW w:type="dxa" w:w="4500"/>
            <w:vAlign w:val="top"/>
            <w:tcBorders>
              <w:top w:val="single" w:sz="6" w:color="CAD7DC"/>
              <w:left w:val="single" w:sz="6" w:color="CAD7DC"/>
              <w:bottom w:val="single" w:sz="6" w:color="CAD7DC"/>
              <w:right w:val="single" w:sz="6" w:color="CAD7DC"/>
              <w:insideH w:val="single" w:sz="6" w:color="CAD7DC"/>
              <w:insideV w:val="single" w:sz="6" w:color="CAD7DC"/>
            </w:tcBorders>
            <w:shd w:fill="FFFFFF"/>
          </w:tcPr>
          <w:p>
            <w:r>
              <w:rPr>
                <w:rFonts w:ascii="Aptos" w:hAnsi="Aptos" w:eastAsia="Aptos"/>
                <w:color w:val="17242C"/>
                <w:sz w:val="24"/>
              </w:rPr>
              <w:t>Students study eight picture flashcards (“Guess the Word”), flip each card to check the word, IPA, definition, Vietnamese meaning, collocation and example, and practise pronunciation with the speaker icons. They then complete a six-item exam-style Quick Check.</w:t>
            </w:r>
          </w:p>
        </w:tc>
        <w:tc>
          <w:tcPr>
            <w:tcW w:type="dxa" w:w="2700"/>
            <w:vAlign w:val="top"/>
            <w:tcBorders>
              <w:top w:val="single" w:sz="6" w:color="CAD7DC"/>
              <w:left w:val="single" w:sz="6" w:color="CAD7DC"/>
              <w:bottom w:val="single" w:sz="6" w:color="CAD7DC"/>
              <w:right w:val="single" w:sz="6" w:color="CAD7DC"/>
              <w:insideH w:val="single" w:sz="6" w:color="CAD7DC"/>
              <w:insideV w:val="single" w:sz="6" w:color="CAD7DC"/>
            </w:tcBorders>
            <w:shd w:fill="FFFFFF"/>
          </w:tcPr>
          <w:p>
            <w:r>
              <w:rPr>
                <w:rFonts w:ascii="Aptos" w:hAnsi="Aptos" w:eastAsia="Aptos"/>
                <w:color w:val="17242C"/>
                <w:sz w:val="24"/>
              </w:rPr>
              <w:t>Accurate meaning, pronunciation and contextual word choice.</w:t>
            </w:r>
          </w:p>
        </w:tc>
      </w:tr>
      <w:tr>
        <w:tc>
          <w:tcPr>
            <w:tcW w:type="dxa" w:w="3000"/>
            <w:vAlign w:val="top"/>
            <w:tcBorders>
              <w:top w:val="single" w:sz="6" w:color="CAD7DC"/>
              <w:left w:val="single" w:sz="6" w:color="CAD7DC"/>
              <w:bottom w:val="single" w:sz="6" w:color="CAD7DC"/>
              <w:right w:val="single" w:sz="6" w:color="CAD7DC"/>
              <w:insideH w:val="single" w:sz="6" w:color="CAD7DC"/>
              <w:insideV w:val="single" w:sz="6" w:color="CAD7DC"/>
            </w:tcBorders>
            <w:shd w:fill="FFFFFF"/>
          </w:tcPr>
          <w:p>
            <w:r>
              <w:rPr>
                <w:rFonts w:ascii="Aptos" w:hAnsi="Aptos" w:eastAsia="Aptos"/>
                <w:color w:val="17242C"/>
                <w:sz w:val="24"/>
              </w:rPr>
              <w:t>While-speaking (13′)</w:t>
            </w:r>
            <w:r>
              <w:rPr>
                <w:sz w:val="24"/>
              </w:rPr>
            </w:r>
          </w:p>
        </w:tc>
        <w:tc>
          <w:tcPr>
            <w:tcW w:type="dxa" w:w="4500"/>
            <w:vAlign w:val="top"/>
            <w:tcBorders>
              <w:top w:val="single" w:sz="6" w:color="CAD7DC"/>
              <w:left w:val="single" w:sz="6" w:color="CAD7DC"/>
              <w:bottom w:val="single" w:sz="6" w:color="CAD7DC"/>
              <w:right w:val="single" w:sz="6" w:color="CAD7DC"/>
              <w:insideH w:val="single" w:sz="6" w:color="CAD7DC"/>
              <w:insideV w:val="single" w:sz="6" w:color="CAD7DC"/>
            </w:tcBorders>
            <w:shd w:fill="FFFFFF"/>
          </w:tcPr>
          <w:p>
            <w:r>
              <w:rPr>
                <w:rFonts w:ascii="Aptos" w:hAnsi="Aptos" w:eastAsia="Aptos"/>
                <w:color w:val="17242C"/>
                <w:sz w:val="24"/>
              </w:rPr>
              <w:t>Teacher presents the two strategy sets — Explaining a Situation and Giving Instructions — and students read the expressions aloud. In pairs, students complete two guided practices: explaining coral bleaching in Phu Quoc and giving instructions to tourists; explaining water hyacinth blocking local canals and giving instructions for a community clean-up. Teacher reveals “Suggested ideas” for feedback.</w:t>
            </w:r>
          </w:p>
        </w:tc>
        <w:tc>
          <w:tcPr>
            <w:tcW w:type="dxa" w:w="2700"/>
            <w:vAlign w:val="top"/>
            <w:tcBorders>
              <w:top w:val="single" w:sz="6" w:color="CAD7DC"/>
              <w:left w:val="single" w:sz="6" w:color="CAD7DC"/>
              <w:bottom w:val="single" w:sz="6" w:color="CAD7DC"/>
              <w:right w:val="single" w:sz="6" w:color="CAD7DC"/>
              <w:insideH w:val="single" w:sz="6" w:color="CAD7DC"/>
              <w:insideV w:val="single" w:sz="6" w:color="CAD7DC"/>
            </w:tcBorders>
            <w:shd w:fill="FFFFFF"/>
          </w:tcPr>
          <w:p>
            <w:r>
              <w:rPr>
                <w:rFonts w:ascii="Aptos" w:hAnsi="Aptos" w:eastAsia="Aptos"/>
                <w:color w:val="17242C"/>
                <w:sz w:val="24"/>
              </w:rPr>
              <w:t>Each pair produces a clear explanation plus step-by-step instructions for both scenarios.</w:t>
            </w:r>
          </w:p>
        </w:tc>
      </w:tr>
      <w:tr>
        <w:tc>
          <w:tcPr>
            <w:tcW w:type="dxa" w:w="3000"/>
            <w:vAlign w:val="top"/>
            <w:tcBorders>
              <w:top w:val="single" w:sz="6" w:color="CAD7DC"/>
              <w:left w:val="single" w:sz="6" w:color="CAD7DC"/>
              <w:bottom w:val="single" w:sz="6" w:color="CAD7DC"/>
              <w:right w:val="single" w:sz="6" w:color="CAD7DC"/>
              <w:insideH w:val="single" w:sz="6" w:color="CAD7DC"/>
              <w:insideV w:val="single" w:sz="6" w:color="CAD7DC"/>
            </w:tcBorders>
            <w:shd w:fill="FFFFFF"/>
          </w:tcPr>
          <w:p>
            <w:r>
              <w:rPr>
                <w:rFonts w:ascii="Aptos" w:hAnsi="Aptos" w:eastAsia="Aptos"/>
                <w:color w:val="17242C"/>
                <w:sz w:val="24"/>
              </w:rPr>
              <w:t>Post-speaking (10′)</w:t>
            </w:r>
            <w:r>
              <w:rPr>
                <w:sz w:val="24"/>
              </w:rPr>
            </w:r>
          </w:p>
        </w:tc>
        <w:tc>
          <w:tcPr>
            <w:tcW w:type="dxa" w:w="4500"/>
            <w:vAlign w:val="top"/>
            <w:tcBorders>
              <w:top w:val="single" w:sz="6" w:color="CAD7DC"/>
              <w:left w:val="single" w:sz="6" w:color="CAD7DC"/>
              <w:bottom w:val="single" w:sz="6" w:color="CAD7DC"/>
              <w:right w:val="single" w:sz="6" w:color="CAD7DC"/>
              <w:insideH w:val="single" w:sz="6" w:color="CAD7DC"/>
              <w:insideV w:val="single" w:sz="6" w:color="CAD7DC"/>
            </w:tcBorders>
            <w:shd w:fill="FFFFFF"/>
          </w:tcPr>
          <w:p>
            <w:r>
              <w:rPr>
                <w:rFonts w:ascii="Aptos" w:hAnsi="Aptos" w:eastAsia="Aptos"/>
                <w:color w:val="17242C"/>
                <w:sz w:val="24"/>
              </w:rPr>
              <w:t>Pairs perform two role-plays: “Save the Mangroves” (environmental officer vs. resort developer) and “The School Eco-Club Campaign” (club leader vs. skeptical classmate), opening “Show arguments” only after a first attempt. Volunteer pairs perform for the class; the random picker invites speakers and the teacher gives feedback.</w:t>
            </w:r>
          </w:p>
        </w:tc>
        <w:tc>
          <w:tcPr>
            <w:tcW w:type="dxa" w:w="2700"/>
            <w:vAlign w:val="top"/>
            <w:tcBorders>
              <w:top w:val="single" w:sz="6" w:color="CAD7DC"/>
              <w:left w:val="single" w:sz="6" w:color="CAD7DC"/>
              <w:bottom w:val="single" w:sz="6" w:color="CAD7DC"/>
              <w:right w:val="single" w:sz="6" w:color="CAD7DC"/>
              <w:insideH w:val="single" w:sz="6" w:color="CAD7DC"/>
              <w:insideV w:val="single" w:sz="6" w:color="CAD7DC"/>
            </w:tcBorders>
            <w:shd w:fill="FFFFFF"/>
          </w:tcPr>
          <w:p>
            <w:r>
              <w:rPr>
                <w:rFonts w:ascii="Aptos" w:hAnsi="Aptos" w:eastAsia="Aptos"/>
                <w:color w:val="17242C"/>
                <w:sz w:val="24"/>
              </w:rPr>
              <w:t>Role-play using at least three target words and both speaking strategies.</w:t>
            </w:r>
          </w:p>
        </w:tc>
      </w:tr>
      <w:tr>
        <w:tc>
          <w:tcPr>
            <w:tcW w:type="dxa" w:w="3000"/>
            <w:tcBorders>
              <w:top w:val="single" w:sz="6" w:color="CAD7DC"/>
              <w:left w:val="single" w:sz="6" w:color="CAD7DC"/>
              <w:bottom w:val="single" w:sz="6" w:color="CAD7DC"/>
              <w:right w:val="single" w:sz="6" w:color="CAD7DC"/>
              <w:insideH w:val="single" w:sz="6" w:color="CAD7DC"/>
              <w:insideV w:val="single" w:sz="6" w:color="CAD7DC"/>
            </w:tcBorders>
            <w:shd w:fill="FFFFFF"/>
          </w:tcPr>
          <w:p>
            <w:r>
              <w:rPr>
                <w:rFonts w:ascii="Aptos" w:hAnsi="Aptos" w:eastAsia="Aptos"/>
                <w:color w:val="17242C"/>
                <w:sz w:val="24"/>
              </w:rPr>
              <w:t>NLS integration (3′)</w:t>
            </w:r>
            <w:r>
              <w:rPr>
                <w:sz w:val="24"/>
              </w:rPr>
            </w:r>
          </w:p>
        </w:tc>
        <w:tc>
          <w:tcPr>
            <w:tcW w:type="dxa" w:w="4500"/>
            <w:tcBorders>
              <w:top w:val="single" w:sz="6" w:color="CAD7DC"/>
              <w:left w:val="single" w:sz="6" w:color="CAD7DC"/>
              <w:bottom w:val="single" w:sz="6" w:color="CAD7DC"/>
              <w:right w:val="single" w:sz="6" w:color="CAD7DC"/>
              <w:insideH w:val="single" w:sz="6" w:color="CAD7DC"/>
              <w:insideV w:val="single" w:sz="6" w:color="CAD7DC"/>
            </w:tcBorders>
            <w:shd w:fill="FFFFFF"/>
          </w:tcPr>
          <w:p>
            <w:r>
              <w:rPr>
                <w:rFonts w:ascii="Aptos" w:hAnsi="Aptos" w:eastAsia="Aptos"/>
                <w:color w:val="17242C"/>
                <w:sz w:val="24"/>
              </w:rPr>
              <w:t>For reporting alignment with PPCT: teacher distributes the ecosystem materials (handout and vlog-assignment guide) through the class Cloud system; students open the shared folder, download the files and confirm access (standard 2.2NC1b).</w:t>
            </w:r>
          </w:p>
        </w:tc>
        <w:tc>
          <w:tcPr>
            <w:tcW w:type="dxa" w:w="2700"/>
            <w:tcBorders>
              <w:top w:val="single" w:sz="6" w:color="CAD7DC"/>
              <w:left w:val="single" w:sz="6" w:color="CAD7DC"/>
              <w:bottom w:val="single" w:sz="6" w:color="CAD7DC"/>
              <w:right w:val="single" w:sz="6" w:color="CAD7DC"/>
              <w:insideH w:val="single" w:sz="6" w:color="CAD7DC"/>
              <w:insideV w:val="single" w:sz="6" w:color="CAD7DC"/>
            </w:tcBorders>
            <w:shd w:fill="FFFFFF"/>
          </w:tcPr>
          <w:p>
            <w:r>
              <w:rPr>
                <w:rFonts w:ascii="Aptos" w:hAnsi="Aptos" w:eastAsia="Aptos"/>
                <w:color w:val="17242C"/>
                <w:sz w:val="24"/>
              </w:rPr>
              <w:t>Every student confirms the files are downloaded and accessible.</w:t>
            </w:r>
          </w:p>
        </w:tc>
      </w:tr>
      <w:tr>
        <w:tc>
          <w:tcPr>
            <w:tcW w:type="dxa" w:w="3000"/>
            <w:vAlign w:val="top"/>
            <w:tcBorders>
              <w:top w:val="single" w:sz="6" w:color="CAD7DC"/>
              <w:left w:val="single" w:sz="6" w:color="CAD7DC"/>
              <w:bottom w:val="single" w:sz="6" w:color="CAD7DC"/>
              <w:right w:val="single" w:sz="6" w:color="CAD7DC"/>
              <w:insideH w:val="single" w:sz="6" w:color="CAD7DC"/>
              <w:insideV w:val="single" w:sz="6" w:color="CAD7DC"/>
            </w:tcBorders>
            <w:shd w:fill="FFFFFF"/>
          </w:tcPr>
          <w:p>
            <w:r>
              <w:rPr>
                <w:rFonts w:ascii="Aptos" w:hAnsi="Aptos" w:eastAsia="Aptos"/>
                <w:color w:val="17242C"/>
                <w:sz w:val="24"/>
              </w:rPr>
              <w:t>Homework (2′)</w:t>
            </w:r>
            <w:r>
              <w:rPr>
                <w:sz w:val="24"/>
              </w:rPr>
            </w:r>
          </w:p>
        </w:tc>
        <w:tc>
          <w:tcPr>
            <w:tcW w:type="dxa" w:w="4500"/>
            <w:vAlign w:val="top"/>
            <w:tcBorders>
              <w:top w:val="single" w:sz="6" w:color="CAD7DC"/>
              <w:left w:val="single" w:sz="6" w:color="CAD7DC"/>
              <w:bottom w:val="single" w:sz="6" w:color="CAD7DC"/>
              <w:right w:val="single" w:sz="6" w:color="CAD7DC"/>
              <w:insideH w:val="single" w:sz="6" w:color="CAD7DC"/>
              <w:insideV w:val="single" w:sz="6" w:color="CAD7DC"/>
            </w:tcBorders>
            <w:shd w:fill="FFFFFF"/>
          </w:tcPr>
          <w:p>
            <w:r>
              <w:rPr>
                <w:sz w:val="24"/>
              </w:rPr>
              <w:t>Record a 2-minute vlog: explain one ecosystem problem in the Mekong Delta and give clear instructions on what local people should do to help, using at least four target words and two speaking strategies.</w:t>
            </w:r>
          </w:p>
        </w:tc>
        <w:tc>
          <w:tcPr>
            <w:tcW w:type="dxa" w:w="2700"/>
            <w:vAlign w:val="top"/>
            <w:tcBorders>
              <w:top w:val="single" w:sz="6" w:color="CAD7DC"/>
              <w:left w:val="single" w:sz="6" w:color="CAD7DC"/>
              <w:bottom w:val="single" w:sz="6" w:color="CAD7DC"/>
              <w:right w:val="single" w:sz="6" w:color="CAD7DC"/>
              <w:insideH w:val="single" w:sz="6" w:color="CAD7DC"/>
              <w:insideV w:val="single" w:sz="6" w:color="CAD7DC"/>
            </w:tcBorders>
            <w:shd w:fill="FFFFFF"/>
          </w:tcPr>
          <w:p>
            <w:r>
              <w:rPr>
                <w:sz w:val="24"/>
              </w:rPr>
              <w:t>Students note the vlog task and its requirements.</w:t>
            </w:r>
          </w:p>
        </w:tc>
      </w:tr>
    </w:tbl>
    <w:p>
      <w:pPr>
        <w:spacing w:before="160" w:after="80"/>
      </w:pPr>
      <w:r>
        <w:rPr>
          <w:rFonts w:ascii="Aptos" w:hAnsi="Aptos" w:eastAsia="Aptos"/>
          <w:b/>
          <w:color w:val="0B6F68"/>
          <w:sz w:val="28"/>
        </w:rPr>
        <w:t>V. SELF-REFLECTION</w:t>
      </w:r>
    </w:p>
    <w:p>
      <w:pPr>
        <w:pStyle w:val="ListBullet"/>
        <w:spacing w:after="60" w:line="252" w:lineRule="auto"/>
      </w:pPr>
      <w:r>
        <w:rPr>
          <w:sz w:val="24"/>
        </w:rPr>
        <w:t>Most students used the target vocabulary confidently in the role-plays, and the strategy expressions helped them structure longer speaking turns.</w:t>
      </w:r>
    </w:p>
    <w:p>
      <w:pPr>
        <w:pStyle w:val="ListBullet"/>
        <w:spacing w:after="60" w:line="252" w:lineRule="auto"/>
      </w:pPr>
      <w:r>
        <w:rPr>
          <w:sz w:val="24"/>
        </w:rPr>
        <w:t>Some stages were not allocated enough time, especially Guided Practice, so the second role-play had to be shortened.</w:t>
      </w:r>
    </w:p>
    <w:sectPr w:rsidR="00FC693F" w:rsidRPr="0006063C" w:rsidSect="00034616">
      <w:pgSz w:w="12240" w:h="15840"/>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Plan – Lesson 20: Speaking – Ecosystem</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